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D9EBFC" w14:textId="0DDC3685" w:rsidR="005635D8" w:rsidRDefault="005635D8">
          <w:pPr>
            <w:pStyle w:val="TOCHeading"/>
          </w:pPr>
          <w:r>
            <w:rPr>
              <w:lang w:val="es-MX"/>
            </w:rPr>
            <w:t>Contenido</w:t>
          </w:r>
        </w:p>
        <w:p w14:paraId="6CA6FDCE" w14:textId="0E857CC2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612574" w:history="1">
            <w:r w:rsidRPr="003F03A0">
              <w:rPr>
                <w:rStyle w:val="Hyperlink"/>
                <w:noProof/>
                <w:lang w:val="es-419"/>
              </w:rPr>
              <w:t>1.- Objetivo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3BD19" w14:textId="62C20F42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5" w:history="1">
            <w:r w:rsidRPr="003F03A0">
              <w:rPr>
                <w:rStyle w:val="Hyperlink"/>
                <w:noProof/>
                <w:lang w:val="es-419"/>
              </w:rPr>
              <w:t>2.- Alcance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A4C43" w14:textId="5452038F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6" w:history="1">
            <w:r w:rsidRPr="003F03A0">
              <w:rPr>
                <w:rStyle w:val="Hyperlink"/>
                <w:noProof/>
                <w:lang w:val="es-419"/>
              </w:rPr>
              <w:t>3.- Matriz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C7A8F" w14:textId="0E9B50D4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7" w:history="1">
            <w:r w:rsidRPr="003F03A0">
              <w:rPr>
                <w:rStyle w:val="Hyperlink"/>
                <w:noProof/>
                <w:lang w:val="es-419"/>
              </w:rPr>
              <w:t>3.- Recursos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6A016" w14:textId="67890AE4" w:rsidR="005635D8" w:rsidRDefault="005635D8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8" w:history="1">
            <w:r w:rsidRPr="003F03A0">
              <w:rPr>
                <w:rStyle w:val="Hyperlink"/>
                <w:noProof/>
                <w:lang w:val="es-419"/>
              </w:rPr>
              <w:t>3.1.- Responsables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82131" w14:textId="64322FC1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9" w:history="1">
            <w:r w:rsidRPr="003F03A0">
              <w:rPr>
                <w:rStyle w:val="Hyperlink"/>
                <w:noProof/>
                <w:lang w:val="es-419"/>
              </w:rPr>
              <w:t>4.- Seguimiento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E2D4B" w14:textId="798CEE14" w:rsidR="005635D8" w:rsidRDefault="005635D8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0" w:history="1">
            <w:r w:rsidRPr="003F03A0">
              <w:rPr>
                <w:rStyle w:val="Hyperlink"/>
                <w:noProof/>
                <w:lang w:val="es-419"/>
              </w:rPr>
              <w:t>4.1.-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C7494" w14:textId="5E953DC9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1" w:history="1">
            <w:r w:rsidRPr="003F03A0">
              <w:rPr>
                <w:rStyle w:val="Hyperlink"/>
                <w:noProof/>
                <w:lang w:val="es-419"/>
              </w:rPr>
              <w:t>5.- Análisis y evaluación de riesgos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45E8" w14:textId="5139CACA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2" w:history="1">
            <w:r w:rsidRPr="003F03A0">
              <w:rPr>
                <w:rStyle w:val="Hyperlink"/>
                <w:noProof/>
                <w:lang w:val="es-419"/>
              </w:rPr>
              <w:t>6.- Análisis y evaluación de oportunidades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9D96" w14:textId="063D207F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3" w:history="1">
            <w:r w:rsidRPr="003F03A0">
              <w:rPr>
                <w:rStyle w:val="Hyperlink"/>
                <w:noProof/>
                <w:lang w:val="es-419"/>
              </w:rPr>
              <w:t>7.- Documentación de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16831" w14:textId="11730E90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4" w:history="1">
            <w:r w:rsidRPr="003F03A0">
              <w:rPr>
                <w:rStyle w:val="Hyperlink"/>
                <w:noProof/>
                <w:lang w:val="es-419"/>
              </w:rPr>
              <w:t>8.-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1BE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F1ABB" w14:textId="172F54FD" w:rsidR="005635D8" w:rsidRDefault="005635D8">
          <w:r>
            <w:rPr>
              <w:b/>
              <w:bCs/>
              <w:lang w:val="es-MX"/>
            </w:rPr>
            <w:fldChar w:fldCharType="end"/>
          </w:r>
        </w:p>
      </w:sdtContent>
    </w:sdt>
    <w:p w14:paraId="562DFDE5" w14:textId="4AAF98C2" w:rsidR="00B945EC" w:rsidRDefault="00B945EC" w:rsidP="00294F63">
      <w:pPr>
        <w:rPr>
          <w:lang w:val="es-419"/>
        </w:rPr>
      </w:pPr>
    </w:p>
    <w:p w14:paraId="62E1F88B" w14:textId="77777777" w:rsidR="00294F63" w:rsidRDefault="00294F63" w:rsidP="00294F63">
      <w:pPr>
        <w:rPr>
          <w:lang w:val="es-419"/>
        </w:rPr>
      </w:pPr>
    </w:p>
    <w:p w14:paraId="4AD0D56A" w14:textId="77777777" w:rsidR="000C0C13" w:rsidRDefault="000C0C13" w:rsidP="00294F63">
      <w:pPr>
        <w:rPr>
          <w:lang w:val="es-419"/>
        </w:rPr>
      </w:pPr>
    </w:p>
    <w:p w14:paraId="0CBC4740" w14:textId="77777777" w:rsidR="000C0C13" w:rsidRDefault="000C0C13" w:rsidP="00294F63">
      <w:pPr>
        <w:rPr>
          <w:lang w:val="es-419"/>
        </w:rPr>
      </w:pPr>
    </w:p>
    <w:p w14:paraId="53D21B5F" w14:textId="77777777" w:rsidR="000C0C13" w:rsidRDefault="000C0C13" w:rsidP="00294F63">
      <w:pPr>
        <w:rPr>
          <w:lang w:val="es-419"/>
        </w:rPr>
      </w:pPr>
    </w:p>
    <w:p w14:paraId="3ED379B8" w14:textId="77777777" w:rsidR="000C0C13" w:rsidRDefault="000C0C13" w:rsidP="00294F63">
      <w:pPr>
        <w:rPr>
          <w:lang w:val="es-419"/>
        </w:rPr>
      </w:pPr>
    </w:p>
    <w:p w14:paraId="062FF177" w14:textId="77777777" w:rsidR="000C0C13" w:rsidRDefault="000C0C13" w:rsidP="00294F63">
      <w:pPr>
        <w:rPr>
          <w:lang w:val="es-419"/>
        </w:rPr>
      </w:pPr>
    </w:p>
    <w:p w14:paraId="60B95D7A" w14:textId="77777777" w:rsidR="000C0C13" w:rsidRDefault="000C0C13" w:rsidP="00294F63">
      <w:pPr>
        <w:rPr>
          <w:lang w:val="es-419"/>
        </w:rPr>
      </w:pPr>
    </w:p>
    <w:p w14:paraId="6FCCD445" w14:textId="77777777" w:rsidR="000C0C13" w:rsidRDefault="000C0C13" w:rsidP="00294F63">
      <w:pPr>
        <w:rPr>
          <w:lang w:val="es-419"/>
        </w:rPr>
      </w:pPr>
    </w:p>
    <w:p w14:paraId="583F62B2" w14:textId="77777777" w:rsidR="000C0C13" w:rsidRDefault="000C0C13" w:rsidP="00294F63">
      <w:pPr>
        <w:rPr>
          <w:lang w:val="es-419"/>
        </w:rPr>
      </w:pPr>
    </w:p>
    <w:p w14:paraId="299CA715" w14:textId="77777777" w:rsidR="000C0C13" w:rsidRDefault="000C0C13" w:rsidP="00294F63">
      <w:pPr>
        <w:rPr>
          <w:lang w:val="es-419"/>
        </w:rPr>
      </w:pPr>
    </w:p>
    <w:p w14:paraId="5419B13B" w14:textId="77777777" w:rsidR="000C0C13" w:rsidRDefault="000C0C13" w:rsidP="00294F63">
      <w:pPr>
        <w:rPr>
          <w:lang w:val="es-419"/>
        </w:rPr>
      </w:pPr>
    </w:p>
    <w:p w14:paraId="3D860396" w14:textId="77777777" w:rsidR="000C0C13" w:rsidRDefault="000C0C13" w:rsidP="00294F63">
      <w:pPr>
        <w:rPr>
          <w:lang w:val="es-419"/>
        </w:rPr>
      </w:pPr>
    </w:p>
    <w:p w14:paraId="2541A039" w14:textId="77777777" w:rsidR="000C0C13" w:rsidRDefault="000C0C13" w:rsidP="00294F63">
      <w:pPr>
        <w:rPr>
          <w:lang w:val="es-419"/>
        </w:rPr>
      </w:pPr>
    </w:p>
    <w:p w14:paraId="206022EC" w14:textId="77777777" w:rsidR="000C0C13" w:rsidRDefault="000C0C13" w:rsidP="00294F63">
      <w:pPr>
        <w:rPr>
          <w:lang w:val="es-419"/>
        </w:rPr>
      </w:pPr>
    </w:p>
    <w:p w14:paraId="770C5322" w14:textId="4CB4EDAE" w:rsidR="00294F63" w:rsidRDefault="00294F63" w:rsidP="005635D8">
      <w:pPr>
        <w:pStyle w:val="Heading2"/>
        <w:rPr>
          <w:lang w:val="es-419"/>
        </w:rPr>
      </w:pPr>
      <w:bookmarkStart w:id="0" w:name="_Toc181612574"/>
      <w:r>
        <w:rPr>
          <w:lang w:val="es-419"/>
        </w:rPr>
        <w:lastRenderedPageBreak/>
        <w:t>1.- Objetivo del Proceso</w:t>
      </w:r>
      <w:bookmarkEnd w:id="0"/>
    </w:p>
    <w:p w14:paraId="60118AC3" w14:textId="4E5AD462" w:rsidR="00294F63" w:rsidRDefault="007D2955" w:rsidP="007D2955">
      <w:pPr>
        <w:jc w:val="both"/>
        <w:rPr>
          <w:lang w:val="es-419"/>
        </w:rPr>
      </w:pPr>
      <w:r>
        <w:t xml:space="preserve">El objetivo del proceso de Liderazgo es garantizar el compromiso y la dirección estratégica de la Alta Gerencia en la implementación, seguimiento y mejora continua del Sistema de Gestión Integrado (SGI) de </w:t>
      </w:r>
      <w:r w:rsidR="0047522B">
        <w:t>LA OORGANIZACIÓN</w:t>
      </w:r>
      <w:r>
        <w:t>. Este proceso asegura que todos los niveles de la organización trabajen alineados con los objetivos de calidad, medio ambiente y salud ocupacional, cumpliendo con las normativas aplicables y promoviendo una cultura de mejora continua.</w:t>
      </w:r>
    </w:p>
    <w:p w14:paraId="127FFDD2" w14:textId="64803CF6" w:rsidR="00294F63" w:rsidRDefault="00294F63" w:rsidP="005635D8">
      <w:pPr>
        <w:pStyle w:val="Heading2"/>
        <w:rPr>
          <w:lang w:val="es-419"/>
        </w:rPr>
      </w:pPr>
      <w:bookmarkStart w:id="1" w:name="_Toc181612575"/>
      <w:r>
        <w:rPr>
          <w:lang w:val="es-419"/>
        </w:rPr>
        <w:t>2.- Alcance del Proceso</w:t>
      </w:r>
      <w:bookmarkEnd w:id="1"/>
    </w:p>
    <w:p w14:paraId="021333A3" w14:textId="50B8AF7D" w:rsidR="007775A0" w:rsidRPr="000C0C13" w:rsidRDefault="007D2955" w:rsidP="007D2955">
      <w:pPr>
        <w:jc w:val="both"/>
      </w:pPr>
      <w:r>
        <w:t>El proceso de Liderazgo abarca todas las actividades de la Alta Gerencia relacionadas con la planificación, apoyo y dirección del SGI. Incluye la definición de la política de la organización, el establecimiento de objetivos estratégicos, la asignación de recursos, la revisión del desempeño del SGI y la comunicación eficaz de los valores y metas a toda la organización.</w:t>
      </w:r>
    </w:p>
    <w:p w14:paraId="6F96D41D" w14:textId="5C89F173" w:rsidR="00294F63" w:rsidRDefault="00294F63" w:rsidP="005635D8">
      <w:pPr>
        <w:pStyle w:val="Heading2"/>
        <w:rPr>
          <w:lang w:val="es-419"/>
        </w:rPr>
      </w:pPr>
      <w:bookmarkStart w:id="2" w:name="_Toc181612576"/>
      <w:r>
        <w:rPr>
          <w:lang w:val="es-419"/>
        </w:rPr>
        <w:t>3.- Matriz del Proceso</w:t>
      </w:r>
      <w:bookmarkEnd w:id="2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4F63" w14:paraId="2C8EC07D" w14:textId="77777777" w:rsidTr="00294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BB50D6C" w14:textId="53A32DF4" w:rsidR="00294F63" w:rsidRDefault="00294F63" w:rsidP="00294F63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ENTRADAS</w:t>
            </w:r>
          </w:p>
        </w:tc>
        <w:tc>
          <w:tcPr>
            <w:tcW w:w="3485" w:type="dxa"/>
          </w:tcPr>
          <w:p w14:paraId="0BD0B078" w14:textId="41286CE9" w:rsidR="00294F63" w:rsidRDefault="00294F63" w:rsidP="0029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PROCEDIMIENTOS (actividades)</w:t>
            </w:r>
          </w:p>
        </w:tc>
        <w:tc>
          <w:tcPr>
            <w:tcW w:w="3486" w:type="dxa"/>
          </w:tcPr>
          <w:p w14:paraId="600EA2F7" w14:textId="58C4C44A" w:rsidR="00294F63" w:rsidRDefault="00294F63" w:rsidP="0029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SALIDAS</w:t>
            </w:r>
          </w:p>
        </w:tc>
      </w:tr>
      <w:tr w:rsidR="007775A0" w14:paraId="6CB807CD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7B3E51" w14:textId="41461183" w:rsidR="007775A0" w:rsidRPr="00533A14" w:rsidRDefault="007775A0" w:rsidP="00294F63">
            <w:pPr>
              <w:rPr>
                <w:b w:val="0"/>
                <w:bCs w:val="0"/>
                <w:lang w:val="es-419"/>
              </w:rPr>
            </w:pPr>
            <w:r w:rsidRPr="00533A14">
              <w:rPr>
                <w:b w:val="0"/>
                <w:bCs w:val="0"/>
              </w:rPr>
              <w:t>Política de calidad, ambiental y de salud y seguridad ocupacional.</w:t>
            </w:r>
          </w:p>
        </w:tc>
        <w:tc>
          <w:tcPr>
            <w:tcW w:w="3485" w:type="dxa"/>
            <w:vMerge w:val="restart"/>
          </w:tcPr>
          <w:p w14:paraId="5C32E69D" w14:textId="77777777" w:rsidR="007775A0" w:rsidRPr="007775A0" w:rsidRDefault="007775A0" w:rsidP="007775A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La Alta Gerencia implementa el proceso de Liderazgo a través de los siguientes pasos:</w:t>
            </w:r>
          </w:p>
          <w:p w14:paraId="27C5F77E" w14:textId="77777777" w:rsidR="007775A0" w:rsidRPr="007775A0" w:rsidRDefault="007775A0" w:rsidP="007775A0">
            <w:pPr>
              <w:numPr>
                <w:ilvl w:val="0"/>
                <w:numId w:val="1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775A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Definición de Políticas y Objetivos</w:t>
            </w: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: La Alta Gerencia establece y revisa las políticas y objetivos estratégicos del SGI en función de las necesidades organizacionales y del contexto externo.</w:t>
            </w:r>
          </w:p>
          <w:p w14:paraId="70B46A2C" w14:textId="77777777" w:rsidR="007775A0" w:rsidRPr="007775A0" w:rsidRDefault="007775A0" w:rsidP="007775A0">
            <w:pPr>
              <w:numPr>
                <w:ilvl w:val="0"/>
                <w:numId w:val="1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775A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Asignación de Recursos</w:t>
            </w: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: Identificación y asignación de los recursos necesarios (humanos, financieros, tecnológicos) para cumplir con los objetivos y mantener la eficacia del SGI.</w:t>
            </w:r>
          </w:p>
          <w:p w14:paraId="545A0C2D" w14:textId="77777777" w:rsidR="007775A0" w:rsidRPr="007775A0" w:rsidRDefault="007775A0" w:rsidP="007775A0">
            <w:pPr>
              <w:numPr>
                <w:ilvl w:val="0"/>
                <w:numId w:val="1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775A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Evaluación y Revisión del Desempeño</w:t>
            </w: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: Se programan revisiones periódicas del SGI para evaluar el cumplimiento de los objetivos, analizar resultados de auditorías y ajustar las políticas y recursos según sea necesario.</w:t>
            </w:r>
          </w:p>
          <w:p w14:paraId="4212B17F" w14:textId="2F9AA314" w:rsidR="007775A0" w:rsidRPr="007775A0" w:rsidRDefault="007775A0" w:rsidP="007775A0">
            <w:pPr>
              <w:numPr>
                <w:ilvl w:val="0"/>
                <w:numId w:val="1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775A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Comunicación y Promoción de la Cultura de Calidad</w:t>
            </w: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 xml:space="preserve">: La Alta Gerencia comunica la importancia de la calidad, la sostenibilidad y la seguridad </w:t>
            </w:r>
            <w:r w:rsidRPr="007775A0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ocupacional a toda la organización, promoviendo el compromiso de los empleados con los objetivos del SGI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</w:tc>
        <w:tc>
          <w:tcPr>
            <w:tcW w:w="3486" w:type="dxa"/>
          </w:tcPr>
          <w:p w14:paraId="62302994" w14:textId="6A11932E" w:rsidR="007775A0" w:rsidRPr="00B00FC2" w:rsidRDefault="00B00FC2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lastRenderedPageBreak/>
              <w:t>Estrategia y objetivos documentados para el SGI.</w:t>
            </w:r>
          </w:p>
        </w:tc>
      </w:tr>
      <w:tr w:rsidR="007775A0" w14:paraId="1FE982F3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103908" w14:textId="4E2891A2" w:rsidR="007775A0" w:rsidRPr="00533A14" w:rsidRDefault="007775A0" w:rsidP="00294F63">
            <w:pPr>
              <w:rPr>
                <w:b w:val="0"/>
                <w:bCs w:val="0"/>
                <w:lang w:val="es-419"/>
              </w:rPr>
            </w:pPr>
            <w:r w:rsidRPr="00533A14">
              <w:rPr>
                <w:b w:val="0"/>
                <w:bCs w:val="0"/>
              </w:rPr>
              <w:t>Requisitos legales y normativos.</w:t>
            </w:r>
          </w:p>
        </w:tc>
        <w:tc>
          <w:tcPr>
            <w:tcW w:w="3485" w:type="dxa"/>
            <w:vMerge/>
          </w:tcPr>
          <w:p w14:paraId="6868E7F5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486" w:type="dxa"/>
          </w:tcPr>
          <w:p w14:paraId="1B978C2E" w14:textId="6D5AD553" w:rsidR="007775A0" w:rsidRDefault="00B00FC2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t>Reportes de revisión por la dirección.</w:t>
            </w:r>
          </w:p>
        </w:tc>
      </w:tr>
      <w:tr w:rsidR="007775A0" w14:paraId="53713594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516DA1" w14:textId="387CABDD" w:rsidR="007775A0" w:rsidRPr="00533A14" w:rsidRDefault="007775A0" w:rsidP="00294F63">
            <w:pPr>
              <w:rPr>
                <w:b w:val="0"/>
                <w:bCs w:val="0"/>
                <w:lang w:val="es-419"/>
              </w:rPr>
            </w:pPr>
            <w:r w:rsidRPr="00533A14">
              <w:rPr>
                <w:b w:val="0"/>
                <w:bCs w:val="0"/>
              </w:rPr>
              <w:t>Expectativas de las partes interesadas.</w:t>
            </w:r>
          </w:p>
        </w:tc>
        <w:tc>
          <w:tcPr>
            <w:tcW w:w="3485" w:type="dxa"/>
            <w:vMerge/>
          </w:tcPr>
          <w:p w14:paraId="3AE7B306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486" w:type="dxa"/>
          </w:tcPr>
          <w:p w14:paraId="65CBB87B" w14:textId="52EA6073" w:rsidR="007775A0" w:rsidRDefault="00B00FC2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t>Comunicaciones de la Alta Gerencia a la organización.</w:t>
            </w:r>
          </w:p>
        </w:tc>
      </w:tr>
      <w:tr w:rsidR="007775A0" w14:paraId="6E122CC8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9214203" w14:textId="26BA34EA" w:rsidR="007775A0" w:rsidRPr="008226E0" w:rsidRDefault="007775A0" w:rsidP="00294F63">
            <w:pPr>
              <w:rPr>
                <w:b w:val="0"/>
                <w:bCs w:val="0"/>
                <w:lang w:val="es-419"/>
              </w:rPr>
            </w:pPr>
            <w:r w:rsidRPr="008226E0">
              <w:rPr>
                <w:b w:val="0"/>
                <w:bCs w:val="0"/>
              </w:rPr>
              <w:t>Resultados de auditorías internas y externas.</w:t>
            </w:r>
          </w:p>
        </w:tc>
        <w:tc>
          <w:tcPr>
            <w:tcW w:w="3485" w:type="dxa"/>
            <w:vMerge/>
          </w:tcPr>
          <w:p w14:paraId="4BEE3F5C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486" w:type="dxa"/>
          </w:tcPr>
          <w:p w14:paraId="0E019733" w14:textId="021EEF84" w:rsidR="007775A0" w:rsidRDefault="00B00FC2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t>Plan de acción y mejora continua para el SGI.</w:t>
            </w:r>
          </w:p>
        </w:tc>
      </w:tr>
      <w:tr w:rsidR="007775A0" w14:paraId="1075EFC8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4CE9C5" w14:textId="7127ED74" w:rsidR="007775A0" w:rsidRPr="008226E0" w:rsidRDefault="007775A0" w:rsidP="00294F63">
            <w:pPr>
              <w:rPr>
                <w:b w:val="0"/>
                <w:bCs w:val="0"/>
                <w:lang w:val="es-419"/>
              </w:rPr>
            </w:pPr>
            <w:r w:rsidRPr="008226E0">
              <w:rPr>
                <w:b w:val="0"/>
                <w:bCs w:val="0"/>
              </w:rPr>
              <w:t>Indicadores de desempeño de los procesos.</w:t>
            </w:r>
          </w:p>
        </w:tc>
        <w:tc>
          <w:tcPr>
            <w:tcW w:w="3485" w:type="dxa"/>
            <w:vMerge/>
          </w:tcPr>
          <w:p w14:paraId="03B100D0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486" w:type="dxa"/>
          </w:tcPr>
          <w:p w14:paraId="3878E1A9" w14:textId="5A55DB39" w:rsidR="007775A0" w:rsidRDefault="00FF669B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t>Asignación de recursos.</w:t>
            </w:r>
          </w:p>
        </w:tc>
      </w:tr>
      <w:tr w:rsidR="007775A0" w14:paraId="71D4EEFC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77C87E7" w14:textId="5AA18545" w:rsidR="007775A0" w:rsidRPr="008226E0" w:rsidRDefault="007775A0" w:rsidP="00294F63">
            <w:pPr>
              <w:rPr>
                <w:b w:val="0"/>
                <w:bCs w:val="0"/>
                <w:lang w:val="es-419"/>
              </w:rPr>
            </w:pPr>
            <w:r w:rsidRPr="008226E0">
              <w:rPr>
                <w:b w:val="0"/>
                <w:bCs w:val="0"/>
              </w:rPr>
              <w:t>Información sobre riesgos y oportunidades identificados.</w:t>
            </w:r>
          </w:p>
        </w:tc>
        <w:tc>
          <w:tcPr>
            <w:tcW w:w="3485" w:type="dxa"/>
            <w:vMerge/>
          </w:tcPr>
          <w:p w14:paraId="1F765DE5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3486" w:type="dxa"/>
          </w:tcPr>
          <w:p w14:paraId="1AFCDDC8" w14:textId="77777777" w:rsidR="007775A0" w:rsidRDefault="007775A0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12FCCEAD" w14:textId="77777777" w:rsidR="00294F63" w:rsidRDefault="00294F63" w:rsidP="00294F63">
      <w:pPr>
        <w:rPr>
          <w:lang w:val="es-419"/>
        </w:rPr>
      </w:pPr>
    </w:p>
    <w:p w14:paraId="43E25D83" w14:textId="2A84C51D" w:rsidR="00294F63" w:rsidRDefault="00294F63" w:rsidP="005635D8">
      <w:pPr>
        <w:pStyle w:val="Heading2"/>
        <w:rPr>
          <w:lang w:val="es-419"/>
        </w:rPr>
      </w:pPr>
      <w:bookmarkStart w:id="3" w:name="_Toc181612577"/>
      <w:r>
        <w:rPr>
          <w:lang w:val="es-419"/>
        </w:rPr>
        <w:t>3.- Recursos del proceso</w:t>
      </w:r>
      <w:bookmarkEnd w:id="3"/>
    </w:p>
    <w:p w14:paraId="25225ED1" w14:textId="61D5280A" w:rsidR="00FF669B" w:rsidRDefault="00FF669B" w:rsidP="00FF669B">
      <w:pPr>
        <w:pStyle w:val="Heading3"/>
        <w:rPr>
          <w:lang w:val="es-419"/>
        </w:rPr>
      </w:pPr>
      <w:r>
        <w:rPr>
          <w:lang w:val="es-419"/>
        </w:rPr>
        <w:t xml:space="preserve">3.1.- Recursos </w:t>
      </w:r>
    </w:p>
    <w:p w14:paraId="4F5C4FAA" w14:textId="77777777" w:rsidR="00F92FAA" w:rsidRPr="00F92FAA" w:rsidRDefault="00F92FAA" w:rsidP="00F92FA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F92FAA">
        <w:rPr>
          <w:rFonts w:eastAsia="Times New Roman" w:cs="Times New Roman"/>
          <w:kern w:val="0"/>
          <w:lang w:eastAsia="es-CL"/>
          <w14:ligatures w14:val="none"/>
        </w:rPr>
        <w:t>Para este proceso de Liderazgo se requieren:</w:t>
      </w:r>
    </w:p>
    <w:p w14:paraId="2368FF8E" w14:textId="77777777" w:rsidR="00F92FAA" w:rsidRPr="00F92FAA" w:rsidRDefault="00F92FAA" w:rsidP="00F92F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F92FAA">
        <w:rPr>
          <w:rFonts w:eastAsia="Times New Roman" w:cs="Times New Roman"/>
          <w:kern w:val="0"/>
          <w:lang w:eastAsia="es-CL"/>
          <w14:ligatures w14:val="none"/>
        </w:rPr>
        <w:t>Recursos humanos: Alta Gerencia y responsables de cada área.</w:t>
      </w:r>
    </w:p>
    <w:p w14:paraId="0E20B96A" w14:textId="77777777" w:rsidR="00F92FAA" w:rsidRPr="00F92FAA" w:rsidRDefault="00F92FAA" w:rsidP="00F92F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F92FAA">
        <w:rPr>
          <w:rFonts w:eastAsia="Times New Roman" w:cs="Times New Roman"/>
          <w:kern w:val="0"/>
          <w:lang w:eastAsia="es-CL"/>
          <w14:ligatures w14:val="none"/>
        </w:rPr>
        <w:t>Recursos económicos: Presupuesto para la implementación y mejora del SGI.</w:t>
      </w:r>
    </w:p>
    <w:p w14:paraId="1875CE48" w14:textId="77777777" w:rsidR="00F92FAA" w:rsidRPr="00F92FAA" w:rsidRDefault="00F92FAA" w:rsidP="00F92F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F92FAA">
        <w:rPr>
          <w:rFonts w:eastAsia="Times New Roman" w:cs="Times New Roman"/>
          <w:kern w:val="0"/>
          <w:lang w:eastAsia="es-CL"/>
          <w14:ligatures w14:val="none"/>
        </w:rPr>
        <w:t>Recursos tecnológicos: Herramientas de gestión de datos y seguimiento.</w:t>
      </w:r>
    </w:p>
    <w:p w14:paraId="7A777186" w14:textId="77777777" w:rsidR="00F92FAA" w:rsidRPr="00F92FAA" w:rsidRDefault="00F92FAA" w:rsidP="00F92F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F92FAA">
        <w:rPr>
          <w:rFonts w:eastAsia="Times New Roman" w:cs="Times New Roman"/>
          <w:kern w:val="0"/>
          <w:lang w:eastAsia="es-CL"/>
          <w14:ligatures w14:val="none"/>
        </w:rPr>
        <w:t>Información sobre el desempeño del SGI, normativa y contexto organizacional.</w:t>
      </w:r>
    </w:p>
    <w:p w14:paraId="132E3C8F" w14:textId="71EA4181" w:rsidR="005635D8" w:rsidRDefault="005635D8" w:rsidP="005635D8">
      <w:pPr>
        <w:pStyle w:val="Heading3"/>
        <w:rPr>
          <w:lang w:val="es-419"/>
        </w:rPr>
      </w:pPr>
      <w:bookmarkStart w:id="4" w:name="_Toc181612578"/>
      <w:r>
        <w:rPr>
          <w:lang w:val="es-419"/>
        </w:rPr>
        <w:t>3.</w:t>
      </w:r>
      <w:r w:rsidR="00FF669B">
        <w:rPr>
          <w:lang w:val="es-419"/>
        </w:rPr>
        <w:t>2</w:t>
      </w:r>
      <w:r>
        <w:rPr>
          <w:lang w:val="es-419"/>
        </w:rPr>
        <w:t>.- Responsables</w:t>
      </w:r>
      <w:bookmarkEnd w:id="4"/>
    </w:p>
    <w:p w14:paraId="5EF7D3C0" w14:textId="43F17AD2" w:rsidR="00294F63" w:rsidRPr="00F92FAA" w:rsidRDefault="00F92FAA" w:rsidP="00F92FAA">
      <w:pPr>
        <w:pStyle w:val="ListParagraph"/>
        <w:numPr>
          <w:ilvl w:val="0"/>
          <w:numId w:val="15"/>
        </w:numPr>
        <w:rPr>
          <w:lang w:val="es-419"/>
        </w:rPr>
      </w:pPr>
      <w:r w:rsidRPr="00F92FAA">
        <w:rPr>
          <w:lang w:val="es-419"/>
        </w:rPr>
        <w:t>Alta Gerencia</w:t>
      </w:r>
    </w:p>
    <w:p w14:paraId="5CD708D1" w14:textId="3A445AD7" w:rsidR="00F92FAA" w:rsidRPr="00F92FAA" w:rsidRDefault="00F92FAA" w:rsidP="00F92FAA">
      <w:pPr>
        <w:pStyle w:val="ListParagraph"/>
        <w:numPr>
          <w:ilvl w:val="0"/>
          <w:numId w:val="15"/>
        </w:numPr>
        <w:rPr>
          <w:lang w:val="es-419"/>
        </w:rPr>
      </w:pPr>
      <w:r w:rsidRPr="00F92FAA">
        <w:rPr>
          <w:lang w:val="es-419"/>
        </w:rPr>
        <w:t>Encargado de la Calidad</w:t>
      </w:r>
    </w:p>
    <w:p w14:paraId="1B715DF1" w14:textId="7FD41B2C" w:rsidR="00294F63" w:rsidRDefault="00294F63" w:rsidP="005635D8">
      <w:pPr>
        <w:pStyle w:val="Heading2"/>
        <w:rPr>
          <w:lang w:val="es-419"/>
        </w:rPr>
      </w:pPr>
      <w:bookmarkStart w:id="5" w:name="_Toc181612579"/>
      <w:r>
        <w:rPr>
          <w:lang w:val="es-419"/>
        </w:rPr>
        <w:t>4.- Seguimiento</w:t>
      </w:r>
      <w:bookmarkEnd w:id="5"/>
    </w:p>
    <w:p w14:paraId="52CBF068" w14:textId="443401C9" w:rsidR="00F92FAA" w:rsidRDefault="00F92FAA" w:rsidP="00F92FAA">
      <w:pPr>
        <w:pStyle w:val="Heading3"/>
        <w:rPr>
          <w:lang w:val="es-419"/>
        </w:rPr>
      </w:pPr>
      <w:r>
        <w:rPr>
          <w:lang w:val="es-419"/>
        </w:rPr>
        <w:t>4.1 Metodología</w:t>
      </w:r>
    </w:p>
    <w:p w14:paraId="7B83570B" w14:textId="77777777" w:rsidR="008362CF" w:rsidRPr="008362CF" w:rsidRDefault="008362CF" w:rsidP="008362C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8362CF">
        <w:rPr>
          <w:rFonts w:eastAsia="Times New Roman" w:cs="Times New Roman"/>
          <w:kern w:val="0"/>
          <w:lang w:eastAsia="es-CL"/>
          <w14:ligatures w14:val="none"/>
        </w:rPr>
        <w:t>El seguimiento del proceso de Liderazgo se realiza mediante:</w:t>
      </w:r>
    </w:p>
    <w:p w14:paraId="78AF3282" w14:textId="77777777" w:rsidR="008362CF" w:rsidRPr="008362CF" w:rsidRDefault="008362CF" w:rsidP="008362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8362CF">
        <w:rPr>
          <w:rFonts w:eastAsia="Times New Roman" w:cs="Times New Roman"/>
          <w:b/>
          <w:bCs/>
          <w:kern w:val="0"/>
          <w:lang w:eastAsia="es-CL"/>
          <w14:ligatures w14:val="none"/>
        </w:rPr>
        <w:t>Indicadores de Eficacia del Liderazgo</w:t>
      </w:r>
      <w:r w:rsidRPr="008362CF">
        <w:rPr>
          <w:rFonts w:eastAsia="Times New Roman" w:cs="Times New Roman"/>
          <w:kern w:val="0"/>
          <w:lang w:eastAsia="es-CL"/>
          <w14:ligatures w14:val="none"/>
        </w:rPr>
        <w:t>: Nivel de cumplimiento de los objetivos estratégicos y calidad de las decisiones tomadas.</w:t>
      </w:r>
    </w:p>
    <w:p w14:paraId="7431AC9E" w14:textId="77777777" w:rsidR="008362CF" w:rsidRPr="008362CF" w:rsidRDefault="008362CF" w:rsidP="008362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8362CF">
        <w:rPr>
          <w:rFonts w:eastAsia="Times New Roman" w:cs="Times New Roman"/>
          <w:b/>
          <w:bCs/>
          <w:kern w:val="0"/>
          <w:lang w:eastAsia="es-CL"/>
          <w14:ligatures w14:val="none"/>
        </w:rPr>
        <w:t>Revisión de Desempeño del SGI</w:t>
      </w:r>
      <w:r w:rsidRPr="008362CF">
        <w:rPr>
          <w:rFonts w:eastAsia="Times New Roman" w:cs="Times New Roman"/>
          <w:kern w:val="0"/>
          <w:lang w:eastAsia="es-CL"/>
          <w14:ligatures w14:val="none"/>
        </w:rPr>
        <w:t>: Evaluación periódica de los resultados en cada área del SGI, con revisión de indicadores clave de desempeño.</w:t>
      </w:r>
    </w:p>
    <w:p w14:paraId="30B8324B" w14:textId="77777777" w:rsidR="008362CF" w:rsidRPr="008362CF" w:rsidRDefault="008362CF" w:rsidP="008362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8362CF">
        <w:rPr>
          <w:rFonts w:eastAsia="Times New Roman" w:cs="Times New Roman"/>
          <w:b/>
          <w:bCs/>
          <w:kern w:val="0"/>
          <w:lang w:eastAsia="es-CL"/>
          <w14:ligatures w14:val="none"/>
        </w:rPr>
        <w:t>Encuestas de Satisfacción Interna</w:t>
      </w:r>
      <w:r w:rsidRPr="008362CF">
        <w:rPr>
          <w:rFonts w:eastAsia="Times New Roman" w:cs="Times New Roman"/>
          <w:kern w:val="0"/>
          <w:lang w:eastAsia="es-CL"/>
          <w14:ligatures w14:val="none"/>
        </w:rPr>
        <w:t>: Evaluación de la percepción y alineación del personal con las políticas y objetivos del SGI.</w:t>
      </w:r>
    </w:p>
    <w:p w14:paraId="2F25C697" w14:textId="77BD6986" w:rsidR="00294F63" w:rsidRDefault="00294F63" w:rsidP="005635D8">
      <w:pPr>
        <w:pStyle w:val="Heading3"/>
        <w:rPr>
          <w:lang w:val="es-419"/>
        </w:rPr>
      </w:pPr>
      <w:bookmarkStart w:id="6" w:name="_Toc181612580"/>
      <w:r>
        <w:rPr>
          <w:lang w:val="es-419"/>
        </w:rPr>
        <w:t>4.1.- Indicadores</w:t>
      </w:r>
      <w:bookmarkEnd w:id="6"/>
    </w:p>
    <w:p w14:paraId="204F4F2A" w14:textId="77777777" w:rsidR="00877C6B" w:rsidRPr="00877C6B" w:rsidRDefault="00877C6B" w:rsidP="00877C6B">
      <w:pPr>
        <w:pStyle w:val="NoSpacing"/>
        <w:rPr>
          <w:b/>
          <w:bCs/>
        </w:rPr>
      </w:pPr>
      <w:r w:rsidRPr="00877C6B">
        <w:rPr>
          <w:b/>
          <w:bCs/>
        </w:rPr>
        <w:t>Cumplimiento de Objetivos Estratégicos del SGI</w:t>
      </w:r>
    </w:p>
    <w:p w14:paraId="1D9CC5B2" w14:textId="77777777" w:rsidR="00877C6B" w:rsidRPr="003C57DB" w:rsidRDefault="00877C6B" w:rsidP="00877C6B">
      <w:r>
        <w:t>(Mide el desempeño del Proceso 001)</w:t>
      </w:r>
    </w:p>
    <w:p w14:paraId="2258FC88" w14:textId="77777777" w:rsidR="00877C6B" w:rsidRPr="00DD6587" w:rsidRDefault="00877C6B" w:rsidP="00877C6B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ICOE=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Número de objetivos cumplidos</m:t>
                  </m:r>
                </m:num>
                <m:den>
                  <m:r>
                    <w:rPr>
                      <w:rFonts w:ascii="Cambria Math" w:hAnsi="Cambria Math"/>
                    </w:rPr>
                    <m:t>Total de Objetivos Establecidos</m:t>
                  </m:r>
                </m:den>
              </m:f>
            </m:e>
          </m:d>
          <m:r>
            <w:rPr>
              <w:rFonts w:ascii="Cambria Math" w:hAnsi="Cambria Math"/>
            </w:rPr>
            <m:t>*100</m:t>
          </m:r>
        </m:oMath>
      </m:oMathPara>
    </w:p>
    <w:p w14:paraId="4ADCB018" w14:textId="77777777" w:rsidR="00877C6B" w:rsidRPr="00B63324" w:rsidRDefault="00877C6B" w:rsidP="00877C6B">
      <w:r w:rsidRPr="00B63324">
        <w:rPr>
          <w:b/>
          <w:bCs/>
        </w:rPr>
        <w:t>Valor Tolerable:</w:t>
      </w:r>
    </w:p>
    <w:p w14:paraId="0F5C5586" w14:textId="77777777" w:rsidR="00877C6B" w:rsidRPr="005A06C0" w:rsidRDefault="00877C6B" w:rsidP="00877C6B">
      <w:pPr>
        <w:numPr>
          <w:ilvl w:val="0"/>
          <w:numId w:val="17"/>
        </w:numPr>
        <w:rPr>
          <w:color w:val="00B050"/>
        </w:rPr>
      </w:pPr>
      <w:r w:rsidRPr="005A06C0">
        <w:rPr>
          <w:b/>
          <w:bCs/>
          <w:color w:val="00B050"/>
        </w:rPr>
        <w:t>Tolerable (Aceptable):</w:t>
      </w:r>
      <w:r w:rsidRPr="005A06C0">
        <w:rPr>
          <w:color w:val="00B050"/>
        </w:rPr>
        <w:t xml:space="preserve"> ≥ </w:t>
      </w:r>
      <w:r>
        <w:rPr>
          <w:color w:val="00B050"/>
        </w:rPr>
        <w:t>90</w:t>
      </w:r>
      <w:r w:rsidRPr="005A06C0">
        <w:rPr>
          <w:color w:val="00B050"/>
        </w:rPr>
        <w:t>%</w:t>
      </w:r>
    </w:p>
    <w:p w14:paraId="6449B01F" w14:textId="77777777" w:rsidR="00877C6B" w:rsidRPr="005A06C0" w:rsidRDefault="00877C6B" w:rsidP="00877C6B">
      <w:pPr>
        <w:numPr>
          <w:ilvl w:val="0"/>
          <w:numId w:val="17"/>
        </w:numPr>
        <w:rPr>
          <w:color w:val="FFC000"/>
        </w:rPr>
      </w:pPr>
      <w:r w:rsidRPr="005A06C0">
        <w:rPr>
          <w:b/>
          <w:bCs/>
          <w:color w:val="FFC000"/>
        </w:rPr>
        <w:lastRenderedPageBreak/>
        <w:t>Marginal:</w:t>
      </w:r>
      <w:r w:rsidRPr="005A06C0">
        <w:rPr>
          <w:color w:val="FFC000"/>
        </w:rPr>
        <w:t xml:space="preserve"> 7</w:t>
      </w:r>
      <w:r>
        <w:rPr>
          <w:color w:val="FFC000"/>
        </w:rPr>
        <w:t>5</w:t>
      </w:r>
      <w:r w:rsidRPr="005A06C0">
        <w:rPr>
          <w:color w:val="FFC000"/>
        </w:rPr>
        <w:t>% - 8</w:t>
      </w:r>
      <w:r>
        <w:rPr>
          <w:color w:val="FFC000"/>
        </w:rPr>
        <w:t>9</w:t>
      </w:r>
      <w:r w:rsidRPr="005A06C0">
        <w:rPr>
          <w:color w:val="FFC000"/>
        </w:rPr>
        <w:t>%</w:t>
      </w:r>
    </w:p>
    <w:p w14:paraId="79F6892C" w14:textId="77777777" w:rsidR="00877C6B" w:rsidRPr="005A06C0" w:rsidRDefault="00877C6B" w:rsidP="00877C6B">
      <w:pPr>
        <w:numPr>
          <w:ilvl w:val="0"/>
          <w:numId w:val="17"/>
        </w:numPr>
        <w:rPr>
          <w:color w:val="FF0000"/>
        </w:rPr>
      </w:pPr>
      <w:r w:rsidRPr="005A06C0">
        <w:rPr>
          <w:b/>
          <w:bCs/>
          <w:color w:val="FF0000"/>
        </w:rPr>
        <w:t>No Aceptable:</w:t>
      </w:r>
      <w:r w:rsidRPr="005A06C0">
        <w:rPr>
          <w:color w:val="FF0000"/>
        </w:rPr>
        <w:t xml:space="preserve"> &lt; 7</w:t>
      </w:r>
      <w:r>
        <w:rPr>
          <w:color w:val="FF0000"/>
        </w:rPr>
        <w:t>5</w:t>
      </w:r>
      <w:r w:rsidRPr="005A06C0">
        <w:rPr>
          <w:color w:val="FF0000"/>
        </w:rPr>
        <w:t>%</w:t>
      </w:r>
    </w:p>
    <w:p w14:paraId="01F95D1E" w14:textId="77777777" w:rsidR="00877C6B" w:rsidRDefault="00877C6B" w:rsidP="00877C6B">
      <w:pPr>
        <w:jc w:val="both"/>
      </w:pPr>
      <w:r w:rsidRPr="00EE62A0">
        <w:rPr>
          <w:b/>
          <w:bCs/>
        </w:rPr>
        <w:t>Justificación:</w:t>
      </w:r>
      <w:r>
        <w:t xml:space="preserve">  Un nivel de cumplimiento superior al 90% indica que la Alta Gerencia está cumpliendo eficazmente sus objetivos estratégicos, demostrando un compromiso sólido con el SGI. Un cumplimiento marginal (entre 75% y 89%) sugiere que, aunque la mayoría de los objetivos se están logrando, existen áreas de mejora. Un cumplimiento inferior al 75% implica la necesidad de revisar las estrategias y asignación de recursos para garantizar que los objetivos estratégicos del SGI sean alcanzados y sostenibles.</w:t>
      </w:r>
    </w:p>
    <w:p w14:paraId="5675EC63" w14:textId="77777777" w:rsidR="00877C6B" w:rsidRPr="00EE62A0" w:rsidRDefault="00877C6B" w:rsidP="00877C6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EE62A0">
        <w:rPr>
          <w:rFonts w:eastAsia="Times New Roman" w:cs="Times New Roman"/>
          <w:b/>
          <w:bCs/>
          <w:kern w:val="0"/>
          <w:lang w:eastAsia="es-CL"/>
          <w14:ligatures w14:val="none"/>
        </w:rPr>
        <w:t>Fuente de Datos:</w:t>
      </w:r>
    </w:p>
    <w:p w14:paraId="04FA7D6B" w14:textId="77777777" w:rsidR="00877C6B" w:rsidRPr="00EE62A0" w:rsidRDefault="00877C6B" w:rsidP="00877C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EE62A0">
        <w:rPr>
          <w:rFonts w:eastAsia="Times New Roman" w:cs="Times New Roman"/>
          <w:kern w:val="0"/>
          <w:lang w:eastAsia="es-CL"/>
          <w14:ligatures w14:val="none"/>
        </w:rPr>
        <w:t>Reportes de revisión de la dirección, donde se detalla el estado de cumplimiento de cada objetivo estratégico.</w:t>
      </w:r>
    </w:p>
    <w:p w14:paraId="18AA281F" w14:textId="77777777" w:rsidR="00877C6B" w:rsidRPr="00EE62A0" w:rsidRDefault="00877C6B" w:rsidP="00877C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EE62A0">
        <w:rPr>
          <w:rFonts w:eastAsia="Times New Roman" w:cs="Times New Roman"/>
          <w:kern w:val="0"/>
          <w:lang w:eastAsia="es-CL"/>
          <w14:ligatures w14:val="none"/>
        </w:rPr>
        <w:t>Informes de auditorías internas y externas, que validan el nivel de cumplimiento en cada área del SGI.</w:t>
      </w:r>
    </w:p>
    <w:p w14:paraId="52D1F438" w14:textId="77777777" w:rsidR="00877C6B" w:rsidRPr="00EE62A0" w:rsidRDefault="00877C6B" w:rsidP="00877C6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EE62A0">
        <w:rPr>
          <w:rFonts w:eastAsia="Times New Roman" w:cs="Times New Roman"/>
          <w:b/>
          <w:bCs/>
          <w:kern w:val="0"/>
          <w:lang w:eastAsia="es-CL"/>
          <w14:ligatures w14:val="none"/>
        </w:rPr>
        <w:t>Frecuencia de Evaluación:</w:t>
      </w:r>
      <w:r w:rsidRPr="00EE62A0">
        <w:rPr>
          <w:rFonts w:eastAsia="Times New Roman" w:cs="Times New Roman"/>
          <w:kern w:val="0"/>
          <w:lang w:eastAsia="es-CL"/>
          <w14:ligatures w14:val="none"/>
        </w:rPr>
        <w:br/>
        <w:t>Trimestral, coincidiendo con las reuniones de revisión de la dirección para evaluar el desempeño del SGI.</w:t>
      </w:r>
    </w:p>
    <w:p w14:paraId="5B92E2B5" w14:textId="77777777" w:rsidR="00877C6B" w:rsidRPr="00205140" w:rsidRDefault="00877C6B" w:rsidP="00877C6B">
      <w:pPr>
        <w:pStyle w:val="NoSpacing"/>
        <w:numPr>
          <w:ilvl w:val="0"/>
          <w:numId w:val="19"/>
        </w:numPr>
        <w:rPr>
          <w:sz w:val="18"/>
          <w:szCs w:val="18"/>
          <w:lang w:eastAsia="es-CL"/>
        </w:rPr>
      </w:pPr>
      <w:r w:rsidRPr="00205140">
        <w:rPr>
          <w:b/>
          <w:bCs/>
          <w:sz w:val="18"/>
          <w:szCs w:val="18"/>
          <w:lang w:eastAsia="es-CL"/>
        </w:rPr>
        <w:t>Plan de Acción:</w:t>
      </w:r>
      <w:r w:rsidRPr="00205140">
        <w:rPr>
          <w:sz w:val="18"/>
          <w:szCs w:val="18"/>
          <w:lang w:eastAsia="es-CL"/>
        </w:rPr>
        <w:br/>
        <w:t xml:space="preserve">Si el indicador se encuentra en el rango </w:t>
      </w:r>
      <w:r w:rsidRPr="00205140">
        <w:rPr>
          <w:b/>
          <w:bCs/>
          <w:sz w:val="18"/>
          <w:szCs w:val="18"/>
          <w:lang w:eastAsia="es-CL"/>
        </w:rPr>
        <w:t>No Aceptable</w:t>
      </w:r>
      <w:r w:rsidRPr="00205140">
        <w:rPr>
          <w:sz w:val="18"/>
          <w:szCs w:val="18"/>
          <w:lang w:eastAsia="es-CL"/>
        </w:rPr>
        <w:t xml:space="preserve"> (&lt;75%), la Alta Gerencia debe:</w:t>
      </w:r>
    </w:p>
    <w:p w14:paraId="2D1015D8" w14:textId="77777777" w:rsidR="00877C6B" w:rsidRPr="00205140" w:rsidRDefault="00877C6B" w:rsidP="00877C6B">
      <w:pPr>
        <w:pStyle w:val="NoSpacing"/>
        <w:numPr>
          <w:ilvl w:val="0"/>
          <w:numId w:val="19"/>
        </w:numPr>
        <w:rPr>
          <w:sz w:val="18"/>
          <w:szCs w:val="18"/>
          <w:lang w:eastAsia="es-CL"/>
        </w:rPr>
      </w:pPr>
      <w:r w:rsidRPr="00205140">
        <w:rPr>
          <w:sz w:val="18"/>
          <w:szCs w:val="18"/>
          <w:lang w:eastAsia="es-CL"/>
        </w:rPr>
        <w:t>Realizar una revisión exhaustiva de los recursos asignados y ajustar según sea necesario.</w:t>
      </w:r>
    </w:p>
    <w:p w14:paraId="5D22BC02" w14:textId="77777777" w:rsidR="00877C6B" w:rsidRPr="00205140" w:rsidRDefault="00877C6B" w:rsidP="00877C6B">
      <w:pPr>
        <w:pStyle w:val="NoSpacing"/>
        <w:numPr>
          <w:ilvl w:val="0"/>
          <w:numId w:val="19"/>
        </w:numPr>
        <w:rPr>
          <w:sz w:val="18"/>
          <w:szCs w:val="18"/>
          <w:lang w:eastAsia="es-CL"/>
        </w:rPr>
      </w:pPr>
      <w:r w:rsidRPr="00205140">
        <w:rPr>
          <w:sz w:val="18"/>
          <w:szCs w:val="18"/>
          <w:lang w:eastAsia="es-CL"/>
        </w:rPr>
        <w:t>Reforzar la alineación de estrategias y objetivos en todas las áreas del SGI.</w:t>
      </w:r>
    </w:p>
    <w:p w14:paraId="18938FF1" w14:textId="77777777" w:rsidR="00877C6B" w:rsidRPr="00205140" w:rsidRDefault="00877C6B" w:rsidP="00877C6B">
      <w:pPr>
        <w:pStyle w:val="NoSpacing"/>
        <w:numPr>
          <w:ilvl w:val="0"/>
          <w:numId w:val="19"/>
        </w:numPr>
        <w:rPr>
          <w:sz w:val="18"/>
          <w:szCs w:val="18"/>
          <w:lang w:eastAsia="es-CL"/>
        </w:rPr>
      </w:pPr>
      <w:r w:rsidRPr="00205140">
        <w:rPr>
          <w:sz w:val="18"/>
          <w:szCs w:val="18"/>
          <w:lang w:eastAsia="es-CL"/>
        </w:rPr>
        <w:t>Implementar acciones correctivas inmediatas para mejorar el desempeño en las áreas deficientes y asegurar el logro de los objetivos estratégicos.</w:t>
      </w:r>
    </w:p>
    <w:p w14:paraId="0D598807" w14:textId="77777777" w:rsidR="00294F63" w:rsidRPr="00877C6B" w:rsidRDefault="00294F63" w:rsidP="00294F63"/>
    <w:p w14:paraId="087C1FC2" w14:textId="12933C3B" w:rsidR="00294F63" w:rsidRDefault="0006051C" w:rsidP="005635D8">
      <w:pPr>
        <w:pStyle w:val="Heading2"/>
        <w:rPr>
          <w:lang w:val="es-419"/>
        </w:rPr>
      </w:pPr>
      <w:bookmarkStart w:id="7" w:name="_Toc181612581"/>
      <w:r>
        <w:rPr>
          <w:lang w:val="es-419"/>
        </w:rPr>
        <w:t>5.- Análisis y evaluación de riesgos del proceso</w:t>
      </w:r>
      <w:bookmarkEnd w:id="7"/>
    </w:p>
    <w:p w14:paraId="4769139B" w14:textId="77777777" w:rsidR="00532CD7" w:rsidRPr="00532CD7" w:rsidRDefault="00532CD7" w:rsidP="00532C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532CD7">
        <w:rPr>
          <w:rFonts w:eastAsia="Times New Roman" w:cs="Times New Roman"/>
          <w:kern w:val="0"/>
          <w:lang w:eastAsia="es-CL"/>
          <w14:ligatures w14:val="none"/>
        </w:rPr>
        <w:t>La evaluación de riesgos en el proceso de Liderazgo incluye:</w:t>
      </w:r>
    </w:p>
    <w:p w14:paraId="25220EB5" w14:textId="77777777" w:rsidR="00532CD7" w:rsidRPr="00532CD7" w:rsidRDefault="00532CD7" w:rsidP="00532C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532CD7">
        <w:rPr>
          <w:rFonts w:eastAsia="Times New Roman" w:cs="Times New Roman"/>
          <w:b/>
          <w:bCs/>
          <w:kern w:val="0"/>
          <w:lang w:eastAsia="es-CL"/>
          <w14:ligatures w14:val="none"/>
        </w:rPr>
        <w:t>Riesgo de Desalineación Estratégica</w:t>
      </w:r>
      <w:r w:rsidRPr="00532CD7">
        <w:rPr>
          <w:rFonts w:eastAsia="Times New Roman" w:cs="Times New Roman"/>
          <w:kern w:val="0"/>
          <w:lang w:eastAsia="es-CL"/>
          <w14:ligatures w14:val="none"/>
        </w:rPr>
        <w:t>: Evaluación de la falta de coherencia entre las políticas de la organización y las acciones operativas.</w:t>
      </w:r>
    </w:p>
    <w:p w14:paraId="269AF0B9" w14:textId="77777777" w:rsidR="00532CD7" w:rsidRPr="00532CD7" w:rsidRDefault="00532CD7" w:rsidP="00532C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532CD7">
        <w:rPr>
          <w:rFonts w:eastAsia="Times New Roman" w:cs="Times New Roman"/>
          <w:b/>
          <w:bCs/>
          <w:kern w:val="0"/>
          <w:lang w:eastAsia="es-CL"/>
          <w14:ligatures w14:val="none"/>
        </w:rPr>
        <w:t>Riesgo de Recursos Insuficientes</w:t>
      </w:r>
      <w:r w:rsidRPr="00532CD7">
        <w:rPr>
          <w:rFonts w:eastAsia="Times New Roman" w:cs="Times New Roman"/>
          <w:kern w:val="0"/>
          <w:lang w:eastAsia="es-CL"/>
          <w14:ligatures w14:val="none"/>
        </w:rPr>
        <w:t>: Análisis de la disponibilidad y asignación de recursos financieros, humanos y tecnológicos para el cumplimiento del SGI.</w:t>
      </w:r>
    </w:p>
    <w:p w14:paraId="2111C12D" w14:textId="77777777" w:rsidR="00532CD7" w:rsidRPr="00532CD7" w:rsidRDefault="00532CD7" w:rsidP="00532C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532CD7">
        <w:rPr>
          <w:rFonts w:eastAsia="Times New Roman" w:cs="Times New Roman"/>
          <w:b/>
          <w:bCs/>
          <w:kern w:val="0"/>
          <w:lang w:eastAsia="es-CL"/>
          <w14:ligatures w14:val="none"/>
        </w:rPr>
        <w:t>Riesgo de Falta de Compromiso Organizacional</w:t>
      </w:r>
      <w:r w:rsidRPr="00532CD7">
        <w:rPr>
          <w:rFonts w:eastAsia="Times New Roman" w:cs="Times New Roman"/>
          <w:kern w:val="0"/>
          <w:lang w:eastAsia="es-CL"/>
          <w14:ligatures w14:val="none"/>
        </w:rPr>
        <w:t>: Evaluación de la percepción y aceptación del personal en relación con los objetivos y políticas del SGI.</w:t>
      </w:r>
    </w:p>
    <w:p w14:paraId="58568C2C" w14:textId="08A85348" w:rsidR="0006051C" w:rsidRDefault="0006051C" w:rsidP="005635D8">
      <w:pPr>
        <w:pStyle w:val="Heading2"/>
        <w:rPr>
          <w:lang w:val="es-419"/>
        </w:rPr>
      </w:pPr>
      <w:bookmarkStart w:id="8" w:name="_Toc181612582"/>
      <w:r>
        <w:rPr>
          <w:lang w:val="es-419"/>
        </w:rPr>
        <w:t>6.- Análisis y evaluación de oportunidades del proceso</w:t>
      </w:r>
      <w:bookmarkEnd w:id="8"/>
    </w:p>
    <w:p w14:paraId="0FAA2D97" w14:textId="77777777" w:rsidR="001B2643" w:rsidRPr="001B2643" w:rsidRDefault="001B2643" w:rsidP="001B26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kern w:val="0"/>
          <w:lang w:eastAsia="es-CL"/>
          <w14:ligatures w14:val="none"/>
        </w:rPr>
        <w:t>Para asegurar un proceso de liderazgo eficaz y alineado con los objetivos del SGI, es importante identificar y aprovechar las oportunidades que puedan mejorar el desempeño del proceso de liderazgo. A continuación, se presenta el análisis y evaluación de las principales oportunidades:</w:t>
      </w:r>
    </w:p>
    <w:p w14:paraId="0EA3AD2F" w14:textId="77777777" w:rsidR="001B2643" w:rsidRPr="001B2643" w:rsidRDefault="001B2643" w:rsidP="001B26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Fortalecimiento de la Cultura de Calidad, Medio Ambiente y Salud Ocupacional</w:t>
      </w:r>
    </w:p>
    <w:p w14:paraId="3837A7CF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lastRenderedPageBreak/>
        <w:t>Descripción de la Oportunidad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Fomentar una cultura organizacional que valore la calidad, la protección del medio ambiente y la salud ocupacional a todos los niveles puede aumentar el compromiso del personal con los objetivos del SGI.</w:t>
      </w:r>
    </w:p>
    <w:p w14:paraId="4A2D91D5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Acciones Potenciales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Realizar talleres de sensibilización y entrenamientos continuos que refuercen estos valores.</w:t>
      </w:r>
    </w:p>
    <w:p w14:paraId="514065DB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Impacto Esperado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Mejora en el cumplimiento de objetivos estratégicos y reducción de no conformidades.</w:t>
      </w:r>
    </w:p>
    <w:p w14:paraId="2E90555B" w14:textId="77777777" w:rsidR="001B2643" w:rsidRPr="001B2643" w:rsidRDefault="001B2643" w:rsidP="001B26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Optimización de la Comunicación Interna</w:t>
      </w:r>
    </w:p>
    <w:p w14:paraId="722752E1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Descripción de la Oportunidad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Mejorar los canales de comunicación entre la Alta Gerencia y el personal operativo puede facilitar la alineación de actividades con los objetivos estratégicos del SGI.</w:t>
      </w:r>
    </w:p>
    <w:p w14:paraId="69A3853C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Acciones Potenciales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Implementar reuniones periódicas de retroalimentación y plataformas digitales de comunicación interna para compartir avances y directrices.</w:t>
      </w:r>
    </w:p>
    <w:p w14:paraId="413B469C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Impacto Esperado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Mayor transparencia y claridad en la ejecución de objetivos, con una reducción en los errores y malentendidos.</w:t>
      </w:r>
    </w:p>
    <w:p w14:paraId="1A109329" w14:textId="77777777" w:rsidR="001B2643" w:rsidRPr="001B2643" w:rsidRDefault="001B2643" w:rsidP="001B26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Automatización de Indicadores de Desempeño</w:t>
      </w:r>
    </w:p>
    <w:p w14:paraId="08EA4020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Descripción de la Oportunidad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Utilizar herramientas tecnológicas para automatizar el seguimiento de indicadores clave de desempeño (</w:t>
      </w:r>
      <w:proofErr w:type="spellStart"/>
      <w:r w:rsidRPr="001B2643">
        <w:rPr>
          <w:rFonts w:eastAsia="Times New Roman" w:cs="Times New Roman"/>
          <w:kern w:val="0"/>
          <w:lang w:eastAsia="es-CL"/>
          <w14:ligatures w14:val="none"/>
        </w:rPr>
        <w:t>KPIs</w:t>
      </w:r>
      <w:proofErr w:type="spellEnd"/>
      <w:r w:rsidRPr="001B2643">
        <w:rPr>
          <w:rFonts w:eastAsia="Times New Roman" w:cs="Times New Roman"/>
          <w:kern w:val="0"/>
          <w:lang w:eastAsia="es-CL"/>
          <w14:ligatures w14:val="none"/>
        </w:rPr>
        <w:t>) puede hacer el proceso de revisión más eficiente.</w:t>
      </w:r>
    </w:p>
    <w:p w14:paraId="1DAAAFE5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Acciones Potenciales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Implementar un sistema de gestión que recopile, analice y presente automáticamente los datos de desempeño del SGI.</w:t>
      </w:r>
    </w:p>
    <w:p w14:paraId="382A945F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Impacto Esperado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Reducción del tiempo en la recopilación y análisis de datos, y mejora en la toma de decisiones basada en datos en tiempo real.</w:t>
      </w:r>
    </w:p>
    <w:p w14:paraId="548AD27B" w14:textId="77777777" w:rsidR="001B2643" w:rsidRPr="001B2643" w:rsidRDefault="001B2643" w:rsidP="001B26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Desarrollo de Programas de Reconocimiento para el Cumplimiento de Objetivos</w:t>
      </w:r>
    </w:p>
    <w:p w14:paraId="6CB9ADF2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Descripción de la Oportunidad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Establecer programas de reconocimiento para los equipos que cumplan o superen los objetivos estratégicos puede aumentar la motivación y el compromiso del personal.</w:t>
      </w:r>
    </w:p>
    <w:p w14:paraId="2A530105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Acciones Potenciales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Crear premios, incentivos o menciones especiales para los equipos destacados en el cumplimiento de los objetivos del SGI.</w:t>
      </w:r>
    </w:p>
    <w:p w14:paraId="4D5AEA11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Impacto Esperado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Aumento en la productividad y satisfacción del personal, con una influencia positiva en el cumplimiento de los objetivos estratégicos.</w:t>
      </w:r>
    </w:p>
    <w:p w14:paraId="33D2726E" w14:textId="77777777" w:rsidR="001B2643" w:rsidRPr="001B2643" w:rsidRDefault="001B2643" w:rsidP="001B26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Mejora Continua en la Evaluación de Riesgos y Oportunidades</w:t>
      </w:r>
    </w:p>
    <w:p w14:paraId="2B7CC126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Descripción de la Oportunidad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Revisar y actualizar periódicamente la metodología de análisis de riesgos y oportunidades del proceso para adaptarse a cambios en el contexto organizacional y normativo.</w:t>
      </w:r>
    </w:p>
    <w:p w14:paraId="6C0AAAD0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Acciones Potenciales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Incorporar nuevas herramientas y técnicas de evaluación de riesgos y oportunidades en el proceso de revisión.</w:t>
      </w:r>
    </w:p>
    <w:p w14:paraId="7047EFDC" w14:textId="77777777" w:rsidR="001B2643" w:rsidRPr="001B2643" w:rsidRDefault="001B2643" w:rsidP="001B264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CL"/>
          <w14:ligatures w14:val="none"/>
        </w:rPr>
      </w:pPr>
      <w:r w:rsidRPr="001B2643">
        <w:rPr>
          <w:rFonts w:eastAsia="Times New Roman" w:cs="Times New Roman"/>
          <w:b/>
          <w:bCs/>
          <w:kern w:val="0"/>
          <w:lang w:eastAsia="es-CL"/>
          <w14:ligatures w14:val="none"/>
        </w:rPr>
        <w:t>Impacto Esperado</w:t>
      </w:r>
      <w:r w:rsidRPr="001B2643">
        <w:rPr>
          <w:rFonts w:eastAsia="Times New Roman" w:cs="Times New Roman"/>
          <w:kern w:val="0"/>
          <w:lang w:eastAsia="es-CL"/>
          <w14:ligatures w14:val="none"/>
        </w:rPr>
        <w:t>: Mayor capacidad de adaptación ante cambios y mejor anticipación de posibles problemas que puedan afectar el SGI.</w:t>
      </w:r>
    </w:p>
    <w:p w14:paraId="0463076C" w14:textId="38B0B120" w:rsidR="00294F63" w:rsidRDefault="005635D8" w:rsidP="005635D8">
      <w:pPr>
        <w:pStyle w:val="Heading2"/>
        <w:rPr>
          <w:lang w:val="es-419"/>
        </w:rPr>
      </w:pPr>
      <w:bookmarkStart w:id="9" w:name="_Toc181612583"/>
      <w:r>
        <w:rPr>
          <w:lang w:val="es-419"/>
        </w:rPr>
        <w:t>7.- Documentación de Referencia</w:t>
      </w:r>
      <w:bookmarkEnd w:id="9"/>
    </w:p>
    <w:tbl>
      <w:tblPr>
        <w:tblW w:w="100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8301"/>
      </w:tblGrid>
      <w:tr w:rsidR="00C76075" w14:paraId="1A844C3B" w14:textId="77777777" w:rsidTr="00C76075">
        <w:trPr>
          <w:trHeight w:val="209"/>
          <w:tblCellSpacing w:w="15" w:type="dxa"/>
        </w:trPr>
        <w:tc>
          <w:tcPr>
            <w:tcW w:w="1695" w:type="dxa"/>
            <w:vAlign w:val="center"/>
            <w:hideMark/>
          </w:tcPr>
          <w:p w14:paraId="36E32B80" w14:textId="77777777" w:rsidR="00C76075" w:rsidRPr="00C76075" w:rsidRDefault="00C76075" w:rsidP="00C76075">
            <w:pPr>
              <w:pStyle w:val="NoSpacing"/>
            </w:pPr>
            <w:hyperlink r:id="rId8" w:tgtFrame="_blank" w:history="1">
              <w:r w:rsidRPr="00C76075">
                <w:rPr>
                  <w:rStyle w:val="Hyperlink"/>
                  <w:color w:val="auto"/>
                  <w:u w:val="none"/>
                </w:rPr>
                <w:t>PRO-001</w:t>
              </w:r>
            </w:hyperlink>
          </w:p>
        </w:tc>
        <w:tc>
          <w:tcPr>
            <w:tcW w:w="8256" w:type="dxa"/>
            <w:vAlign w:val="center"/>
            <w:hideMark/>
          </w:tcPr>
          <w:p w14:paraId="4408A3E4" w14:textId="77777777" w:rsidR="00C76075" w:rsidRPr="00C76075" w:rsidRDefault="00C76075" w:rsidP="00C76075">
            <w:pPr>
              <w:pStyle w:val="NoSpacing"/>
            </w:pPr>
            <w:hyperlink r:id="rId9" w:tgtFrame="_blank" w:history="1">
              <w:r w:rsidRPr="00C76075">
                <w:rPr>
                  <w:rStyle w:val="Hyperlink"/>
                  <w:color w:val="auto"/>
                  <w:u w:val="none"/>
                </w:rPr>
                <w:t>Control de la Información documentada</w:t>
              </w:r>
            </w:hyperlink>
          </w:p>
        </w:tc>
      </w:tr>
      <w:tr w:rsidR="00C76075" w14:paraId="59025805" w14:textId="77777777" w:rsidTr="00C76075">
        <w:trPr>
          <w:trHeight w:val="209"/>
          <w:tblCellSpacing w:w="15" w:type="dxa"/>
        </w:trPr>
        <w:tc>
          <w:tcPr>
            <w:tcW w:w="1695" w:type="dxa"/>
            <w:vAlign w:val="center"/>
            <w:hideMark/>
          </w:tcPr>
          <w:p w14:paraId="5A3B1F96" w14:textId="77777777" w:rsidR="00C76075" w:rsidRPr="00C76075" w:rsidRDefault="00C76075" w:rsidP="00C76075">
            <w:pPr>
              <w:pStyle w:val="NoSpacing"/>
            </w:pPr>
            <w:hyperlink r:id="rId10" w:tgtFrame="_blank" w:history="1">
              <w:r w:rsidRPr="00C76075">
                <w:rPr>
                  <w:rStyle w:val="Hyperlink"/>
                  <w:color w:val="auto"/>
                  <w:u w:val="none"/>
                </w:rPr>
                <w:t>PRO-004</w:t>
              </w:r>
            </w:hyperlink>
          </w:p>
        </w:tc>
        <w:tc>
          <w:tcPr>
            <w:tcW w:w="8256" w:type="dxa"/>
            <w:vAlign w:val="center"/>
            <w:hideMark/>
          </w:tcPr>
          <w:p w14:paraId="2937B408" w14:textId="77777777" w:rsidR="00C76075" w:rsidRPr="00C76075" w:rsidRDefault="00C76075" w:rsidP="00C76075">
            <w:pPr>
              <w:pStyle w:val="NoSpacing"/>
            </w:pPr>
            <w:hyperlink r:id="rId11" w:tgtFrame="_blank" w:history="1">
              <w:proofErr w:type="spellStart"/>
              <w:r w:rsidRPr="00C76075">
                <w:rPr>
                  <w:rStyle w:val="Hyperlink"/>
                  <w:color w:val="auto"/>
                  <w:u w:val="none"/>
                </w:rPr>
                <w:t>Auditorias</w:t>
              </w:r>
              <w:proofErr w:type="spellEnd"/>
              <w:r w:rsidRPr="00C76075">
                <w:rPr>
                  <w:rStyle w:val="Hyperlink"/>
                  <w:color w:val="auto"/>
                  <w:u w:val="none"/>
                </w:rPr>
                <w:t xml:space="preserve"> Internas y Programa de Auditoría</w:t>
              </w:r>
            </w:hyperlink>
          </w:p>
        </w:tc>
      </w:tr>
      <w:tr w:rsidR="00C76075" w14:paraId="4C65F4CB" w14:textId="77777777" w:rsidTr="00C76075">
        <w:trPr>
          <w:trHeight w:val="209"/>
          <w:tblCellSpacing w:w="15" w:type="dxa"/>
        </w:trPr>
        <w:tc>
          <w:tcPr>
            <w:tcW w:w="1695" w:type="dxa"/>
            <w:vAlign w:val="center"/>
            <w:hideMark/>
          </w:tcPr>
          <w:p w14:paraId="1C397574" w14:textId="77777777" w:rsidR="00C76075" w:rsidRPr="00C76075" w:rsidRDefault="00C76075" w:rsidP="00C76075">
            <w:pPr>
              <w:pStyle w:val="NoSpacing"/>
            </w:pPr>
            <w:hyperlink r:id="rId12" w:tgtFrame="_blank" w:history="1">
              <w:r w:rsidRPr="00C76075">
                <w:rPr>
                  <w:rStyle w:val="Hyperlink"/>
                  <w:color w:val="auto"/>
                  <w:u w:val="none"/>
                </w:rPr>
                <w:t>PRO-007</w:t>
              </w:r>
            </w:hyperlink>
          </w:p>
        </w:tc>
        <w:tc>
          <w:tcPr>
            <w:tcW w:w="8256" w:type="dxa"/>
            <w:vAlign w:val="center"/>
            <w:hideMark/>
          </w:tcPr>
          <w:p w14:paraId="635B9B69" w14:textId="77777777" w:rsidR="00C76075" w:rsidRPr="00C76075" w:rsidRDefault="00C76075" w:rsidP="00C76075">
            <w:pPr>
              <w:pStyle w:val="NoSpacing"/>
            </w:pPr>
            <w:hyperlink r:id="rId13" w:tgtFrame="_blank" w:history="1">
              <w:r w:rsidRPr="00C76075">
                <w:rPr>
                  <w:rStyle w:val="Hyperlink"/>
                  <w:color w:val="auto"/>
                  <w:u w:val="none"/>
                </w:rPr>
                <w:t>Gestión del Riesgo</w:t>
              </w:r>
            </w:hyperlink>
          </w:p>
        </w:tc>
      </w:tr>
      <w:tr w:rsidR="00C76075" w14:paraId="00E86A4A" w14:textId="77777777" w:rsidTr="00C76075">
        <w:trPr>
          <w:trHeight w:val="209"/>
          <w:tblCellSpacing w:w="15" w:type="dxa"/>
        </w:trPr>
        <w:tc>
          <w:tcPr>
            <w:tcW w:w="1695" w:type="dxa"/>
            <w:vAlign w:val="center"/>
            <w:hideMark/>
          </w:tcPr>
          <w:p w14:paraId="10AAB038" w14:textId="77777777" w:rsidR="00C76075" w:rsidRPr="00C76075" w:rsidRDefault="00C76075" w:rsidP="00C76075">
            <w:pPr>
              <w:pStyle w:val="NoSpacing"/>
            </w:pPr>
            <w:hyperlink r:id="rId14" w:tgtFrame="_blank" w:history="1">
              <w:r w:rsidRPr="00C76075">
                <w:rPr>
                  <w:rStyle w:val="Hyperlink"/>
                  <w:color w:val="auto"/>
                  <w:u w:val="none"/>
                </w:rPr>
                <w:t>PRO-013</w:t>
              </w:r>
            </w:hyperlink>
          </w:p>
        </w:tc>
        <w:tc>
          <w:tcPr>
            <w:tcW w:w="8256" w:type="dxa"/>
            <w:vAlign w:val="center"/>
            <w:hideMark/>
          </w:tcPr>
          <w:p w14:paraId="7F37208B" w14:textId="77777777" w:rsidR="00C76075" w:rsidRPr="00C76075" w:rsidRDefault="00C76075" w:rsidP="00C76075">
            <w:pPr>
              <w:pStyle w:val="NoSpacing"/>
            </w:pPr>
            <w:hyperlink r:id="rId15" w:tgtFrame="_blank" w:history="1">
              <w:r w:rsidRPr="00C76075">
                <w:rPr>
                  <w:rStyle w:val="Hyperlink"/>
                  <w:color w:val="auto"/>
                  <w:u w:val="none"/>
                </w:rPr>
                <w:t>Gestión del Liderazgo y Revisión por la Dirección</w:t>
              </w:r>
            </w:hyperlink>
          </w:p>
        </w:tc>
      </w:tr>
      <w:tr w:rsidR="00C76075" w14:paraId="1BFE29C9" w14:textId="77777777" w:rsidTr="00C76075">
        <w:trPr>
          <w:trHeight w:val="464"/>
          <w:tblCellSpacing w:w="15" w:type="dxa"/>
        </w:trPr>
        <w:tc>
          <w:tcPr>
            <w:tcW w:w="1695" w:type="dxa"/>
            <w:vAlign w:val="center"/>
            <w:hideMark/>
          </w:tcPr>
          <w:p w14:paraId="68C3A79A" w14:textId="77777777" w:rsidR="00C76075" w:rsidRDefault="00C76075">
            <w:r>
              <w:lastRenderedPageBreak/>
              <w:t> </w:t>
            </w:r>
          </w:p>
        </w:tc>
        <w:tc>
          <w:tcPr>
            <w:tcW w:w="8256" w:type="dxa"/>
            <w:vAlign w:val="center"/>
            <w:hideMark/>
          </w:tcPr>
          <w:p w14:paraId="3501AAB1" w14:textId="77777777" w:rsidR="00C76075" w:rsidRDefault="00C76075">
            <w:r>
              <w:t> </w:t>
            </w:r>
          </w:p>
        </w:tc>
      </w:tr>
    </w:tbl>
    <w:p w14:paraId="6C7FAE49" w14:textId="77777777" w:rsidR="00294F63" w:rsidRDefault="00294F63" w:rsidP="00294F63">
      <w:pPr>
        <w:pStyle w:val="NoSpacing"/>
        <w:rPr>
          <w:lang w:val="es-419"/>
        </w:rPr>
      </w:pPr>
    </w:p>
    <w:p w14:paraId="794E2392" w14:textId="36CE37EA" w:rsidR="00294F63" w:rsidRDefault="005635D8" w:rsidP="00294F63">
      <w:pPr>
        <w:pStyle w:val="Heading2"/>
        <w:rPr>
          <w:lang w:val="es-419"/>
        </w:rPr>
      </w:pPr>
      <w:bookmarkStart w:id="10" w:name="_Toc181539289"/>
      <w:bookmarkStart w:id="11" w:name="_Toc181612584"/>
      <w:r>
        <w:rPr>
          <w:lang w:val="es-419"/>
        </w:rPr>
        <w:t>8.-</w:t>
      </w:r>
      <w:r w:rsidR="00294F63">
        <w:rPr>
          <w:lang w:val="es-419"/>
        </w:rPr>
        <w:t xml:space="preserve"> Historial de Versiones</w:t>
      </w:r>
      <w:bookmarkEnd w:id="10"/>
      <w:bookmarkEnd w:id="11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294F63" w14:paraId="0309D7C8" w14:textId="77777777" w:rsidTr="00B2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B79E63" w14:textId="77777777" w:rsidR="00294F63" w:rsidRDefault="00294F63" w:rsidP="00B20BAE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10" w:type="dxa"/>
          </w:tcPr>
          <w:p w14:paraId="304409AB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5490" w:type="dxa"/>
          </w:tcPr>
          <w:p w14:paraId="3D33A676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911" w:type="dxa"/>
          </w:tcPr>
          <w:p w14:paraId="0185BF55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294F63" w14:paraId="52E68A7C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BA7B41A" w14:textId="77777777" w:rsidR="00294F63" w:rsidRDefault="00294F63" w:rsidP="00B20BAE">
            <w:pPr>
              <w:rPr>
                <w:lang w:val="es-419"/>
              </w:rPr>
            </w:pPr>
            <w:r>
              <w:rPr>
                <w:lang w:val="es-419"/>
              </w:rPr>
              <w:t>001</w:t>
            </w:r>
          </w:p>
        </w:tc>
        <w:tc>
          <w:tcPr>
            <w:tcW w:w="1710" w:type="dxa"/>
          </w:tcPr>
          <w:p w14:paraId="5BB5215F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01.02.2024</w:t>
            </w:r>
          </w:p>
        </w:tc>
        <w:tc>
          <w:tcPr>
            <w:tcW w:w="5490" w:type="dxa"/>
          </w:tcPr>
          <w:p w14:paraId="4ECE157C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531B21A5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294F63" w14:paraId="4BCB53E9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5BA530" w14:textId="77777777" w:rsidR="00294F63" w:rsidRDefault="00294F63" w:rsidP="00B20BAE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63DD2316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3597FE8D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230D2EDB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94F63" w14:paraId="1598FD5A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25EEF01" w14:textId="77777777" w:rsidR="00294F63" w:rsidRDefault="00294F63" w:rsidP="00B20BAE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1F03DFA5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72A76E17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1C376E8E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293C2F47" w14:textId="77777777" w:rsidR="00294F63" w:rsidRPr="00B945EC" w:rsidRDefault="00294F63" w:rsidP="00294F63">
      <w:pPr>
        <w:rPr>
          <w:lang w:val="es-419"/>
        </w:rPr>
      </w:pPr>
    </w:p>
    <w:p w14:paraId="0865F44B" w14:textId="77777777" w:rsidR="00294F63" w:rsidRPr="00294F63" w:rsidRDefault="00294F63" w:rsidP="00294F63">
      <w:pPr>
        <w:rPr>
          <w:lang w:val="es-419"/>
        </w:rPr>
      </w:pPr>
    </w:p>
    <w:sectPr w:rsidR="00294F63" w:rsidRPr="00294F63" w:rsidSect="00B945EC">
      <w:headerReference w:type="defaul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B71B" w14:textId="77777777" w:rsidR="00B710EC" w:rsidRDefault="00B710EC" w:rsidP="003A4E23">
      <w:pPr>
        <w:spacing w:after="0" w:line="240" w:lineRule="auto"/>
      </w:pPr>
      <w:r>
        <w:separator/>
      </w:r>
    </w:p>
  </w:endnote>
  <w:endnote w:type="continuationSeparator" w:id="0">
    <w:p w14:paraId="6440C70A" w14:textId="77777777" w:rsidR="00B710EC" w:rsidRDefault="00B710EC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58B7" w14:textId="77777777" w:rsidR="00B710EC" w:rsidRDefault="00B710EC" w:rsidP="003A4E23">
      <w:pPr>
        <w:spacing w:after="0" w:line="240" w:lineRule="auto"/>
      </w:pPr>
      <w:r>
        <w:separator/>
      </w:r>
    </w:p>
  </w:footnote>
  <w:footnote w:type="continuationSeparator" w:id="0">
    <w:p w14:paraId="3FAB805B" w14:textId="77777777" w:rsidR="00B710EC" w:rsidRDefault="00B710EC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B945EC" w14:paraId="003AE25D" w14:textId="77777777" w:rsidTr="00B945EC">
      <w:tc>
        <w:tcPr>
          <w:tcW w:w="2942" w:type="dxa"/>
          <w:vMerge w:val="restart"/>
        </w:tcPr>
        <w:p w14:paraId="13F8A158" w14:textId="51D4CAAF" w:rsidR="00B945EC" w:rsidRDefault="00B945EC">
          <w:pPr>
            <w:pStyle w:val="Header"/>
          </w:pPr>
        </w:p>
      </w:tc>
      <w:tc>
        <w:tcPr>
          <w:tcW w:w="5603" w:type="dxa"/>
        </w:tcPr>
        <w:p w14:paraId="44527247" w14:textId="312C0A30" w:rsidR="00B945EC" w:rsidRPr="00B945EC" w:rsidRDefault="00B945EC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2618DA93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00</w:t>
          </w:r>
          <w:r w:rsidR="00C91039">
            <w:rPr>
              <w:sz w:val="20"/>
              <w:szCs w:val="20"/>
            </w:rPr>
            <w:t>2</w:t>
          </w:r>
        </w:p>
      </w:tc>
    </w:tr>
    <w:tr w:rsidR="00B945EC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63851C5F" w:rsidR="00B945EC" w:rsidRPr="00B945EC" w:rsidRDefault="000C0C13" w:rsidP="00B945EC">
          <w:pPr>
            <w:pStyle w:val="Header"/>
            <w:jc w:val="center"/>
            <w:rPr>
              <w:sz w:val="20"/>
              <w:szCs w:val="20"/>
            </w:rPr>
          </w:pPr>
          <w:r w:rsidRPr="000C0C13">
            <w:rPr>
              <w:sz w:val="20"/>
              <w:szCs w:val="20"/>
            </w:rPr>
            <w:t xml:space="preserve">PSC 001 </w:t>
          </w:r>
          <w:r w:rsidR="00B945EC" w:rsidRPr="00B945EC">
            <w:rPr>
              <w:sz w:val="20"/>
              <w:szCs w:val="20"/>
            </w:rPr>
            <w:t xml:space="preserve">| </w:t>
          </w:r>
          <w:r w:rsidR="00AE4940">
            <w:rPr>
              <w:sz w:val="20"/>
              <w:szCs w:val="20"/>
            </w:rPr>
            <w:t>LIDERAZGO</w:t>
          </w:r>
        </w:p>
      </w:tc>
      <w:tc>
        <w:tcPr>
          <w:tcW w:w="1980" w:type="dxa"/>
        </w:tcPr>
        <w:p w14:paraId="6B0138BC" w14:textId="60F7C22F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Fecha: 01.</w:t>
          </w:r>
          <w:r w:rsidR="00C91039">
            <w:rPr>
              <w:sz w:val="20"/>
              <w:szCs w:val="20"/>
            </w:rPr>
            <w:t>1</w:t>
          </w:r>
          <w:r w:rsidR="001A0A64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B945EC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8714B40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6B708A77" w:rsidR="003A4E23" w:rsidRDefault="001A1BEF">
    <w:pPr>
      <w:pStyle w:val="Head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1E4E6" wp14:editId="1CF327C3">
          <wp:simplePos x="0" y="0"/>
          <wp:positionH relativeFrom="column">
            <wp:posOffset>-121920</wp:posOffset>
          </wp:positionH>
          <wp:positionV relativeFrom="paragraph">
            <wp:posOffset>-678180</wp:posOffset>
          </wp:positionV>
          <wp:extent cx="1996440" cy="643890"/>
          <wp:effectExtent l="0" t="0" r="3810" b="3810"/>
          <wp:wrapNone/>
          <wp:docPr id="1190364367" name="Imagem 2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364367" name="Imagem 2" descr="A blue and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00B"/>
    <w:multiLevelType w:val="multilevel"/>
    <w:tmpl w:val="07C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0FD7"/>
    <w:multiLevelType w:val="multilevel"/>
    <w:tmpl w:val="D8E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C75A8"/>
    <w:multiLevelType w:val="multilevel"/>
    <w:tmpl w:val="EC5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6666"/>
    <w:multiLevelType w:val="multilevel"/>
    <w:tmpl w:val="5C9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B0F9B"/>
    <w:multiLevelType w:val="multilevel"/>
    <w:tmpl w:val="A716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A3B32"/>
    <w:multiLevelType w:val="multilevel"/>
    <w:tmpl w:val="4FB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81561"/>
    <w:multiLevelType w:val="multilevel"/>
    <w:tmpl w:val="CC8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C0DAA"/>
    <w:multiLevelType w:val="multilevel"/>
    <w:tmpl w:val="A93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778E7"/>
    <w:multiLevelType w:val="hybridMultilevel"/>
    <w:tmpl w:val="1E18C8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818E5"/>
    <w:multiLevelType w:val="multilevel"/>
    <w:tmpl w:val="891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41E5A"/>
    <w:multiLevelType w:val="multilevel"/>
    <w:tmpl w:val="5220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31AE5"/>
    <w:multiLevelType w:val="multilevel"/>
    <w:tmpl w:val="CF9E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27E36"/>
    <w:multiLevelType w:val="hybridMultilevel"/>
    <w:tmpl w:val="8278D1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28FD"/>
    <w:multiLevelType w:val="multilevel"/>
    <w:tmpl w:val="3FD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404C8"/>
    <w:multiLevelType w:val="multilevel"/>
    <w:tmpl w:val="271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1587A"/>
    <w:multiLevelType w:val="multilevel"/>
    <w:tmpl w:val="1528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E2F90"/>
    <w:multiLevelType w:val="multilevel"/>
    <w:tmpl w:val="DE3C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6258">
    <w:abstractNumId w:val="17"/>
  </w:num>
  <w:num w:numId="2" w16cid:durableId="2026319856">
    <w:abstractNumId w:val="6"/>
  </w:num>
  <w:num w:numId="3" w16cid:durableId="545337571">
    <w:abstractNumId w:val="2"/>
  </w:num>
  <w:num w:numId="4" w16cid:durableId="448663118">
    <w:abstractNumId w:val="3"/>
  </w:num>
  <w:num w:numId="5" w16cid:durableId="161941946">
    <w:abstractNumId w:val="1"/>
  </w:num>
  <w:num w:numId="6" w16cid:durableId="2058699236">
    <w:abstractNumId w:val="14"/>
  </w:num>
  <w:num w:numId="7" w16cid:durableId="444427408">
    <w:abstractNumId w:val="7"/>
  </w:num>
  <w:num w:numId="8" w16cid:durableId="859853647">
    <w:abstractNumId w:val="0"/>
  </w:num>
  <w:num w:numId="9" w16cid:durableId="1737052847">
    <w:abstractNumId w:val="12"/>
  </w:num>
  <w:num w:numId="10" w16cid:durableId="1766615185">
    <w:abstractNumId w:val="9"/>
  </w:num>
  <w:num w:numId="11" w16cid:durableId="1073159314">
    <w:abstractNumId w:val="10"/>
  </w:num>
  <w:num w:numId="12" w16cid:durableId="2098017493">
    <w:abstractNumId w:val="8"/>
  </w:num>
  <w:num w:numId="13" w16cid:durableId="1246455674">
    <w:abstractNumId w:val="16"/>
  </w:num>
  <w:num w:numId="14" w16cid:durableId="1074352719">
    <w:abstractNumId w:val="20"/>
  </w:num>
  <w:num w:numId="15" w16cid:durableId="2106609083">
    <w:abstractNumId w:val="11"/>
  </w:num>
  <w:num w:numId="16" w16cid:durableId="179049279">
    <w:abstractNumId w:val="18"/>
  </w:num>
  <w:num w:numId="17" w16cid:durableId="40978279">
    <w:abstractNumId w:val="4"/>
  </w:num>
  <w:num w:numId="18" w16cid:durableId="564875880">
    <w:abstractNumId w:val="19"/>
  </w:num>
  <w:num w:numId="19" w16cid:durableId="538015043">
    <w:abstractNumId w:val="15"/>
  </w:num>
  <w:num w:numId="20" w16cid:durableId="1975258982">
    <w:abstractNumId w:val="5"/>
  </w:num>
  <w:num w:numId="21" w16cid:durableId="1062556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47CED"/>
    <w:rsid w:val="0006051C"/>
    <w:rsid w:val="000A4AB9"/>
    <w:rsid w:val="000B2D24"/>
    <w:rsid w:val="000C0C13"/>
    <w:rsid w:val="001168EF"/>
    <w:rsid w:val="00153E21"/>
    <w:rsid w:val="001742B9"/>
    <w:rsid w:val="001A0A64"/>
    <w:rsid w:val="001A1BEF"/>
    <w:rsid w:val="001A71E4"/>
    <w:rsid w:val="001B2643"/>
    <w:rsid w:val="001C4D83"/>
    <w:rsid w:val="001F473D"/>
    <w:rsid w:val="00205833"/>
    <w:rsid w:val="002416D1"/>
    <w:rsid w:val="00294F63"/>
    <w:rsid w:val="002C2F99"/>
    <w:rsid w:val="002C5F86"/>
    <w:rsid w:val="002E3588"/>
    <w:rsid w:val="00387C1D"/>
    <w:rsid w:val="003A4E23"/>
    <w:rsid w:val="003B67BA"/>
    <w:rsid w:val="003C2C1A"/>
    <w:rsid w:val="0044219D"/>
    <w:rsid w:val="00443772"/>
    <w:rsid w:val="0047522B"/>
    <w:rsid w:val="00513A3E"/>
    <w:rsid w:val="00532CD7"/>
    <w:rsid w:val="00533A14"/>
    <w:rsid w:val="005635D8"/>
    <w:rsid w:val="00573818"/>
    <w:rsid w:val="005A19C6"/>
    <w:rsid w:val="005B5436"/>
    <w:rsid w:val="005C081F"/>
    <w:rsid w:val="005C6137"/>
    <w:rsid w:val="0060655E"/>
    <w:rsid w:val="00613FCC"/>
    <w:rsid w:val="00641941"/>
    <w:rsid w:val="006577A5"/>
    <w:rsid w:val="006D5AB1"/>
    <w:rsid w:val="007509A4"/>
    <w:rsid w:val="007775A0"/>
    <w:rsid w:val="007A7438"/>
    <w:rsid w:val="007B0058"/>
    <w:rsid w:val="007D2955"/>
    <w:rsid w:val="008226E0"/>
    <w:rsid w:val="008362CF"/>
    <w:rsid w:val="00855EFB"/>
    <w:rsid w:val="00856591"/>
    <w:rsid w:val="00877C6B"/>
    <w:rsid w:val="008D672C"/>
    <w:rsid w:val="00935F9F"/>
    <w:rsid w:val="00967BFB"/>
    <w:rsid w:val="00A90EC4"/>
    <w:rsid w:val="00A96A1D"/>
    <w:rsid w:val="00AA7615"/>
    <w:rsid w:val="00AD6ADD"/>
    <w:rsid w:val="00AE4940"/>
    <w:rsid w:val="00B00FC2"/>
    <w:rsid w:val="00B0288D"/>
    <w:rsid w:val="00B66598"/>
    <w:rsid w:val="00B710EC"/>
    <w:rsid w:val="00B945EC"/>
    <w:rsid w:val="00BC3F09"/>
    <w:rsid w:val="00BF72D5"/>
    <w:rsid w:val="00C76075"/>
    <w:rsid w:val="00C91039"/>
    <w:rsid w:val="00D5745E"/>
    <w:rsid w:val="00E949B9"/>
    <w:rsid w:val="00EB3DBA"/>
    <w:rsid w:val="00ED7C13"/>
    <w:rsid w:val="00EE753F"/>
    <w:rsid w:val="00EF5B43"/>
    <w:rsid w:val="00EF5B5A"/>
    <w:rsid w:val="00EF6900"/>
    <w:rsid w:val="00F92FAA"/>
    <w:rsid w:val="00FC1610"/>
    <w:rsid w:val="00FC5F30"/>
    <w:rsid w:val="00FC6D07"/>
    <w:rsid w:val="00FF4B65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A170D999-157A-472C-A855-242D53F3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EC4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0EC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90EC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EC4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294F6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vav\OneDrive\Escritorio\FUMIPRO-SGI\documentacion\pdf\PRO-001-control-informacion-documentada.pdf" TargetMode="External"/><Relationship Id="rId13" Type="http://schemas.openxmlformats.org/officeDocument/2006/relationships/hyperlink" Target="file:///C:\Users\novav\OneDrive\Escritorio\FUMIPRO-SGI\documentacion\pdf\PRO-007-gestion-riesgo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novav\OneDrive\Escritorio\FUMIPRO-SGI\documentacion\pdf\PRO-007-gestion-riesg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ovav\OneDrive\Escritorio\FUMIPRO-SGI\documentacion\pdf\PRO-004-auditorias-intern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ovav\OneDrive\Escritorio\FUMIPRO-SGI\documentacion\pdf\PRO-013-Liderazgo.pdf" TargetMode="External"/><Relationship Id="rId10" Type="http://schemas.openxmlformats.org/officeDocument/2006/relationships/hyperlink" Target="file:///C:\Users\novav\OneDrive\Escritorio\FUMIPRO-SGI\documentacion\pdf\PRO-004-auditorias-internas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ovav\OneDrive\Escritorio\FUMIPRO-SGI\documentacion\pdf\PRO-001-control-informacion-documentada.pdf" TargetMode="External"/><Relationship Id="rId14" Type="http://schemas.openxmlformats.org/officeDocument/2006/relationships/hyperlink" Target="file:///C:\Users\novav\OneDrive\Escritorio\FUMIPRO-SGI\documentacion\pdf\PRO-013-Lideraz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BB92-C350-46EF-811E-9B669F71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7</cp:revision>
  <cp:lastPrinted>2025-09-26T14:53:00Z</cp:lastPrinted>
  <dcterms:created xsi:type="dcterms:W3CDTF">2025-04-11T17:49:00Z</dcterms:created>
  <dcterms:modified xsi:type="dcterms:W3CDTF">2025-09-26T14:53:00Z</dcterms:modified>
</cp:coreProperties>
</file>